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79EBC30"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1099–1119.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464E" w14:textId="77777777" w:rsidR="008E3E82" w:rsidRDefault="008E3E82" w:rsidP="001A7CC6">
      <w:r>
        <w:separator/>
      </w:r>
    </w:p>
  </w:endnote>
  <w:endnote w:type="continuationSeparator" w:id="0">
    <w:p w14:paraId="1DC7618E" w14:textId="77777777" w:rsidR="008E3E82" w:rsidRDefault="008E3E82"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756F" w14:textId="77777777" w:rsidR="008E3E82" w:rsidRDefault="008E3E82" w:rsidP="001A7CC6">
      <w:r>
        <w:separator/>
      </w:r>
    </w:p>
  </w:footnote>
  <w:footnote w:type="continuationSeparator" w:id="0">
    <w:p w14:paraId="560954AC" w14:textId="77777777" w:rsidR="008E3E82" w:rsidRDefault="008E3E82"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4F4D3F6D" w:rsidR="00670181" w:rsidRPr="005D3DB4" w:rsidRDefault="00670181" w:rsidP="00670181">
    <w:pPr>
      <w:pStyle w:val="Header"/>
      <w:rPr>
        <w:sz w:val="20"/>
        <w:szCs w:val="18"/>
      </w:rPr>
    </w:pPr>
    <w:r w:rsidRPr="00E520D9">
      <w:rPr>
        <w:sz w:val="20"/>
        <w:szCs w:val="18"/>
      </w:rPr>
      <w:t xml:space="preserve">Journal of </w:t>
    </w:r>
    <w:r w:rsidR="008F3910" w:rsidRPr="008F3910">
      <w:rPr>
        <w:sz w:val="20"/>
        <w:szCs w:val="18"/>
      </w:rPr>
      <w:t>Education for Sustainable Futures</w:t>
    </w:r>
    <w:r w:rsidRPr="005D3DB4">
      <w:rPr>
        <w:sz w:val="20"/>
        <w:szCs w:val="18"/>
      </w:rPr>
      <w:ptab w:relativeTo="margin" w:alignment="right" w:leader="none"/>
    </w:r>
    <w:r w:rsidRPr="005D3DB4">
      <w:rPr>
        <w:sz w:val="20"/>
        <w:szCs w:val="18"/>
      </w:rPr>
      <w:t>Volume xx, Issue xx, 202x</w:t>
    </w:r>
  </w:p>
  <w:p w14:paraId="20A05C6A" w14:textId="2A70CCE2" w:rsidR="00670181" w:rsidRDefault="00670181" w:rsidP="008F3910">
    <w:pPr>
      <w:pStyle w:val="Header"/>
      <w:tabs>
        <w:tab w:val="clear" w:pos="4680"/>
        <w:tab w:val="clear" w:pos="9360"/>
        <w:tab w:val="right" w:pos="9498"/>
      </w:tabs>
      <w:rPr>
        <w:sz w:val="20"/>
        <w:szCs w:val="18"/>
      </w:rPr>
    </w:pPr>
    <w:r w:rsidRPr="005D3DB4">
      <w:rPr>
        <w:sz w:val="20"/>
        <w:szCs w:val="18"/>
      </w:rPr>
      <w:t xml:space="preserve">ISSN: </w:t>
    </w:r>
    <w:r>
      <w:rPr>
        <w:sz w:val="20"/>
        <w:szCs w:val="18"/>
      </w:rPr>
      <w:tab/>
      <w:t xml:space="preserve">pp. </w:t>
    </w:r>
    <w:r w:rsidR="005C13DB">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603E"/>
    <w:rsid w:val="004557C0"/>
    <w:rsid w:val="004818F3"/>
    <w:rsid w:val="00497AE6"/>
    <w:rsid w:val="004C0CC6"/>
    <w:rsid w:val="004E0696"/>
    <w:rsid w:val="005241C7"/>
    <w:rsid w:val="00535B97"/>
    <w:rsid w:val="005C13DB"/>
    <w:rsid w:val="005D3DB4"/>
    <w:rsid w:val="006700E9"/>
    <w:rsid w:val="00670181"/>
    <w:rsid w:val="00713BEB"/>
    <w:rsid w:val="007579CA"/>
    <w:rsid w:val="00765881"/>
    <w:rsid w:val="007667D5"/>
    <w:rsid w:val="007A1C93"/>
    <w:rsid w:val="007A210E"/>
    <w:rsid w:val="00814064"/>
    <w:rsid w:val="008166D5"/>
    <w:rsid w:val="008E3E82"/>
    <w:rsid w:val="008F3910"/>
    <w:rsid w:val="009146F3"/>
    <w:rsid w:val="00933484"/>
    <w:rsid w:val="00963157"/>
    <w:rsid w:val="00A25204"/>
    <w:rsid w:val="00AC1F47"/>
    <w:rsid w:val="00B865DF"/>
    <w:rsid w:val="00C552EF"/>
    <w:rsid w:val="00D769F1"/>
    <w:rsid w:val="00D82627"/>
    <w:rsid w:val="00DC1712"/>
    <w:rsid w:val="00DE03F8"/>
    <w:rsid w:val="00E00B12"/>
    <w:rsid w:val="00E0453E"/>
    <w:rsid w:val="00E25C4B"/>
    <w:rsid w:val="00E613E4"/>
    <w:rsid w:val="00EB4ADA"/>
    <w:rsid w:val="00EC2559"/>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44</cp:revision>
  <dcterms:created xsi:type="dcterms:W3CDTF">2024-12-15T11:19:00Z</dcterms:created>
  <dcterms:modified xsi:type="dcterms:W3CDTF">2026-04-05T15:59:00Z</dcterms:modified>
</cp:coreProperties>
</file>